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36" w:rsidRPr="00697553" w:rsidRDefault="00713136" w:rsidP="00713136">
      <w:pPr>
        <w:widowControl/>
        <w:shd w:val="clear" w:color="auto" w:fill="FFFFFF"/>
        <w:spacing w:before="100" w:beforeAutospacing="1" w:after="100" w:afterAutospacing="1" w:line="311" w:lineRule="atLeast"/>
        <w:rPr>
          <w:rFonts w:ascii="黑体" w:eastAsia="黑体" w:hAnsi="黑体" w:cs="宋体"/>
          <w:bCs/>
          <w:color w:val="0D0D0D" w:themeColor="text1" w:themeTint="F2"/>
          <w:spacing w:val="6"/>
          <w:kern w:val="0"/>
          <w:sz w:val="32"/>
          <w:szCs w:val="32"/>
        </w:rPr>
      </w:pPr>
      <w:r w:rsidRPr="00697553">
        <w:rPr>
          <w:rFonts w:ascii="黑体" w:eastAsia="黑体" w:hAnsi="黑体" w:cs="宋体" w:hint="eastAsia"/>
          <w:bCs/>
          <w:color w:val="0D0D0D" w:themeColor="text1" w:themeTint="F2"/>
          <w:spacing w:val="6"/>
          <w:kern w:val="0"/>
          <w:sz w:val="32"/>
          <w:szCs w:val="32"/>
        </w:rPr>
        <w:t>附件1：</w:t>
      </w:r>
    </w:p>
    <w:tbl>
      <w:tblPr>
        <w:tblpPr w:leftFromText="180" w:rightFromText="180" w:vertAnchor="text" w:horzAnchor="page" w:tblpX="1175" w:tblpY="917"/>
        <w:tblW w:w="9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1010"/>
        <w:gridCol w:w="2250"/>
        <w:gridCol w:w="1735"/>
        <w:gridCol w:w="2943"/>
      </w:tblGrid>
      <w:tr w:rsidR="00713136" w:rsidRPr="00697553" w:rsidTr="00395BCD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8"/>
                <w:szCs w:val="28"/>
              </w:rPr>
            </w:pPr>
            <w:r w:rsidRPr="00697553">
              <w:rPr>
                <w:rFonts w:ascii="宋体" w:eastAsia="宋体" w:hAnsi="宋体" w:cs="宋体" w:hint="eastAsia"/>
                <w:bCs/>
                <w:color w:val="0D0D0D" w:themeColor="text1" w:themeTint="F2"/>
                <w:spacing w:val="6"/>
                <w:kern w:val="0"/>
                <w:sz w:val="28"/>
                <w:szCs w:val="28"/>
              </w:rPr>
              <w:t>类  别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8"/>
                <w:szCs w:val="28"/>
              </w:rPr>
            </w:pPr>
            <w:r w:rsidRPr="00697553">
              <w:rPr>
                <w:rFonts w:ascii="宋体" w:eastAsia="宋体" w:hAnsi="宋体" w:cs="宋体" w:hint="eastAsia"/>
                <w:bCs/>
                <w:color w:val="0D0D0D" w:themeColor="text1" w:themeTint="F2"/>
                <w:spacing w:val="6"/>
                <w:kern w:val="0"/>
                <w:sz w:val="28"/>
                <w:szCs w:val="28"/>
              </w:rPr>
              <w:t>类 型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8"/>
                <w:szCs w:val="28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8"/>
                <w:szCs w:val="28"/>
              </w:rPr>
              <w:t>规模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8"/>
                <w:szCs w:val="28"/>
              </w:rPr>
            </w:pPr>
            <w:r w:rsidRPr="00697553">
              <w:rPr>
                <w:rFonts w:ascii="宋体" w:eastAsia="宋体" w:hAnsi="宋体" w:cs="宋体" w:hint="eastAsia"/>
                <w:bCs/>
                <w:color w:val="0D0D0D" w:themeColor="text1" w:themeTint="F2"/>
                <w:spacing w:val="6"/>
                <w:kern w:val="0"/>
                <w:sz w:val="28"/>
                <w:szCs w:val="28"/>
              </w:rPr>
              <w:t>指 导 价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8"/>
                <w:szCs w:val="28"/>
              </w:rPr>
            </w:pPr>
            <w:r w:rsidRPr="00697553">
              <w:rPr>
                <w:rFonts w:ascii="宋体" w:eastAsia="宋体" w:hAnsi="宋体" w:cs="宋体" w:hint="eastAsia"/>
                <w:bCs/>
                <w:color w:val="0D0D0D" w:themeColor="text1" w:themeTint="F2"/>
                <w:spacing w:val="6"/>
                <w:kern w:val="0"/>
                <w:sz w:val="28"/>
                <w:szCs w:val="28"/>
              </w:rPr>
              <w:t>备注</w:t>
            </w:r>
          </w:p>
        </w:tc>
      </w:tr>
      <w:tr w:rsidR="00713136" w:rsidRPr="00697553" w:rsidTr="00395BCD">
        <w:trPr>
          <w:trHeight w:val="49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住宅小区类工程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小高层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S≦10万㎡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不低于2</w:t>
            </w: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4"/>
                <w:szCs w:val="24"/>
              </w:rPr>
              <w:t>8</w:t>
            </w: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元/㎡</w:t>
            </w:r>
          </w:p>
        </w:tc>
        <w:tc>
          <w:tcPr>
            <w:tcW w:w="29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1、小高层以工期20个月为计费依据，高层以工期30个月为计费依据，超出上述工期的项目取费按实际情况增加。</w:t>
            </w:r>
          </w:p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2、精装修项目在原信息价格基础上增加不低于20%。</w:t>
            </w:r>
          </w:p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3、室外配套项目在原信息价格基础上增加不低于20%。</w:t>
            </w:r>
          </w:p>
        </w:tc>
      </w:tr>
      <w:tr w:rsidR="00713136" w:rsidRPr="00697553" w:rsidTr="00395BCD">
        <w:trPr>
          <w:trHeight w:val="4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10万㎡&lt;S≦20万㎡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4"/>
                <w:szCs w:val="24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4"/>
                <w:szCs w:val="24"/>
              </w:rPr>
              <w:t>24-28</w:t>
            </w: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</w:tr>
      <w:tr w:rsidR="00713136" w:rsidRPr="00697553" w:rsidTr="00395BCD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S&gt;20万㎡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4"/>
                <w:szCs w:val="24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4"/>
                <w:szCs w:val="24"/>
              </w:rPr>
              <w:t>20-24</w:t>
            </w: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</w:tr>
      <w:tr w:rsidR="00713136" w:rsidRPr="00697553" w:rsidTr="00395BCD">
        <w:trPr>
          <w:trHeight w:val="4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高  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S≦10万㎡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4"/>
                <w:szCs w:val="24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不低于30元/㎡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</w:tr>
      <w:tr w:rsidR="00713136" w:rsidRPr="00697553" w:rsidTr="00395BCD">
        <w:trPr>
          <w:trHeight w:val="50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10万㎡&lt;S≦20万㎡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4"/>
                <w:szCs w:val="24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26-30元/㎡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</w:tr>
      <w:tr w:rsidR="00713136" w:rsidRPr="00697553" w:rsidTr="00395BCD">
        <w:trPr>
          <w:trHeight w:val="4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S&gt;20万㎡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  <w:r w:rsidRPr="00697553">
              <w:rPr>
                <w:rFonts w:ascii="微软雅黑" w:eastAsia="微软雅黑" w:hAnsi="微软雅黑" w:cs="宋体" w:hint="eastAsia"/>
                <w:color w:val="0D0D0D" w:themeColor="text1" w:themeTint="F2"/>
                <w:spacing w:val="6"/>
                <w:kern w:val="0"/>
                <w:sz w:val="20"/>
                <w:szCs w:val="20"/>
              </w:rPr>
              <w:t>22-26</w:t>
            </w: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713136" w:rsidRPr="00697553" w:rsidTr="00395BCD">
        <w:trPr>
          <w:trHeight w:val="4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别  墅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S≦5万㎡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不低于40元/㎡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713136" w:rsidRPr="00697553" w:rsidTr="00395BCD">
        <w:trPr>
          <w:trHeight w:val="44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S&gt;5万㎡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  <w:r w:rsidRPr="00697553">
              <w:rPr>
                <w:rFonts w:ascii="微软雅黑" w:eastAsia="微软雅黑" w:hAnsi="微软雅黑" w:cs="宋体" w:hint="eastAsia"/>
                <w:color w:val="0D0D0D" w:themeColor="text1" w:themeTint="F2"/>
                <w:spacing w:val="6"/>
                <w:kern w:val="0"/>
                <w:sz w:val="20"/>
                <w:szCs w:val="20"/>
              </w:rPr>
              <w:t>35-40</w:t>
            </w: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元/㎡</w:t>
            </w: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713136" w:rsidRPr="00697553" w:rsidTr="00395BCD">
        <w:trPr>
          <w:trHeight w:val="5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商业及公共建筑类工程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商业及一般公共建筑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S≦5万㎡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不低于40元/㎡</w:t>
            </w:r>
          </w:p>
        </w:tc>
        <w:tc>
          <w:tcPr>
            <w:tcW w:w="29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1、信息价格以工期30个月以内为计费依据。</w:t>
            </w:r>
          </w:p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2、信息价格已考虑公共部位装修，若整体精装修项目在原信息价格基础上增加不低于20%。</w:t>
            </w:r>
          </w:p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3、室外配套项目在原信息价格基础上增加不低于20%。</w:t>
            </w:r>
          </w:p>
        </w:tc>
      </w:tr>
      <w:tr w:rsidR="00713136" w:rsidRPr="00697553" w:rsidTr="00395BCD">
        <w:trPr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5万㎡&lt;S≦10万㎡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35-40元/㎡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</w:tr>
      <w:tr w:rsidR="00713136" w:rsidRPr="00697553" w:rsidTr="00395BCD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S&gt;10万㎡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30-35元/㎡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713136" w:rsidRPr="00697553" w:rsidTr="00395BCD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超高层建筑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h&gt;300m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不低于50元/㎡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713136" w:rsidRPr="00697553" w:rsidTr="00395BCD">
        <w:trPr>
          <w:trHeight w:val="55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200m&lt;h≦300m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45-50元/㎡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713136" w:rsidRPr="00697553" w:rsidTr="00395BCD">
        <w:trPr>
          <w:trHeight w:val="5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100m&lt;h≦200m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40-45元/㎡</w:t>
            </w: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713136" w:rsidRPr="00697553" w:rsidTr="00395BCD">
        <w:trPr>
          <w:trHeight w:val="4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工业厂房类</w:t>
            </w:r>
          </w:p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工程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  <w:r w:rsidRPr="00697553">
              <w:rPr>
                <w:rFonts w:ascii="微软雅黑" w:eastAsia="微软雅黑" w:hAnsi="微软雅黑" w:cs="宋体" w:hint="eastAsia"/>
                <w:color w:val="0D0D0D" w:themeColor="text1" w:themeTint="F2"/>
                <w:spacing w:val="6"/>
                <w:kern w:val="0"/>
                <w:sz w:val="20"/>
                <w:szCs w:val="20"/>
              </w:rPr>
              <w:t>轻钢</w:t>
            </w:r>
          </w:p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微软雅黑" w:eastAsia="微软雅黑" w:hAnsi="微软雅黑" w:cs="宋体" w:hint="eastAsia"/>
                <w:color w:val="0D0D0D" w:themeColor="text1" w:themeTint="F2"/>
                <w:spacing w:val="6"/>
                <w:kern w:val="0"/>
                <w:sz w:val="20"/>
                <w:szCs w:val="20"/>
              </w:rPr>
              <w:t>厂房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S≦5万㎡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不低于26元/㎡</w:t>
            </w:r>
          </w:p>
        </w:tc>
        <w:tc>
          <w:tcPr>
            <w:tcW w:w="29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1、信息价格以工期15个月为计费依据。</w:t>
            </w:r>
          </w:p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2、工期较长、投资额较高的重型钢结构厂房价格按实际情况增加。</w:t>
            </w:r>
          </w:p>
          <w:p w:rsidR="00713136" w:rsidRPr="00697553" w:rsidRDefault="00713136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3、室外配套项目在原信息价格基础上增加不低于20%。</w:t>
            </w:r>
          </w:p>
        </w:tc>
      </w:tr>
      <w:tr w:rsidR="00713136" w:rsidRPr="00697553" w:rsidTr="00395BCD">
        <w:trPr>
          <w:trHeight w:val="4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5万㎡&lt;S≦10万㎡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22-26元/㎡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713136" w:rsidRPr="00697553" w:rsidTr="00395BCD">
        <w:trPr>
          <w:trHeight w:val="4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S&gt;10万㎡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18-22元/㎡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713136" w:rsidRPr="00697553" w:rsidTr="00395BCD">
        <w:trPr>
          <w:trHeight w:val="4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  <w:r w:rsidRPr="00697553">
              <w:rPr>
                <w:rFonts w:ascii="微软雅黑" w:eastAsia="微软雅黑" w:hAnsi="微软雅黑" w:cs="宋体" w:hint="eastAsia"/>
                <w:color w:val="0D0D0D" w:themeColor="text1" w:themeTint="F2"/>
                <w:spacing w:val="6"/>
                <w:kern w:val="0"/>
                <w:sz w:val="20"/>
                <w:szCs w:val="20"/>
              </w:rPr>
              <w:t>非轻钢</w:t>
            </w:r>
          </w:p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微软雅黑" w:eastAsia="微软雅黑" w:hAnsi="微软雅黑" w:cs="宋体" w:hint="eastAsia"/>
                <w:color w:val="0D0D0D" w:themeColor="text1" w:themeTint="F2"/>
                <w:spacing w:val="6"/>
                <w:kern w:val="0"/>
                <w:sz w:val="20"/>
                <w:szCs w:val="20"/>
              </w:rPr>
              <w:t>厂房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S≦5万㎡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不低于30元/㎡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713136" w:rsidRPr="00697553" w:rsidTr="00395BCD">
        <w:trPr>
          <w:trHeight w:val="4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5万㎡&lt;S≦10万㎡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26-30元/㎡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713136" w:rsidRPr="00697553" w:rsidTr="00395BCD">
        <w:trPr>
          <w:trHeight w:val="4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13136" w:rsidRPr="00697553" w:rsidRDefault="00713136" w:rsidP="00395BCD">
            <w:pPr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3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S&gt;10万㎡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36" w:rsidRPr="00697553" w:rsidRDefault="00713136" w:rsidP="00395BC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3"/>
                <w:szCs w:val="23"/>
              </w:rPr>
              <w:t>22-26元/㎡</w:t>
            </w: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 w:rsidR="00713136" w:rsidRPr="00697553" w:rsidRDefault="00713136" w:rsidP="00395BC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</w:tbl>
    <w:p w:rsidR="00713136" w:rsidRPr="00697553" w:rsidRDefault="00713136" w:rsidP="00713136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="方正小标宋简体" w:eastAsia="方正小标宋简体" w:hAnsi="微软雅黑" w:cs="宋体"/>
          <w:color w:val="0D0D0D" w:themeColor="text1" w:themeTint="F2"/>
          <w:spacing w:val="6"/>
          <w:kern w:val="0"/>
          <w:sz w:val="32"/>
          <w:szCs w:val="32"/>
        </w:rPr>
      </w:pPr>
      <w:r w:rsidRPr="00697553">
        <w:rPr>
          <w:rFonts w:ascii="方正小标宋简体" w:eastAsia="方正小标宋简体" w:hAnsi="宋体" w:cs="宋体" w:hint="eastAsia"/>
          <w:bCs/>
          <w:color w:val="0D0D0D" w:themeColor="text1" w:themeTint="F2"/>
          <w:spacing w:val="6"/>
          <w:kern w:val="0"/>
          <w:sz w:val="32"/>
          <w:szCs w:val="32"/>
        </w:rPr>
        <w:t>济南市非政府（非国有）</w:t>
      </w:r>
      <w:bookmarkStart w:id="0" w:name="_GoBack"/>
      <w:bookmarkEnd w:id="0"/>
      <w:r w:rsidRPr="00697553">
        <w:rPr>
          <w:rFonts w:ascii="方正小标宋简体" w:eastAsia="方正小标宋简体" w:hAnsi="宋体" w:cs="宋体" w:hint="eastAsia"/>
          <w:bCs/>
          <w:color w:val="0D0D0D" w:themeColor="text1" w:themeTint="F2"/>
          <w:spacing w:val="6"/>
          <w:kern w:val="0"/>
          <w:sz w:val="32"/>
          <w:szCs w:val="32"/>
        </w:rPr>
        <w:t>投资工程监理收费信息价格</w:t>
      </w:r>
    </w:p>
    <w:p w:rsidR="007E2BBC" w:rsidRPr="00713136" w:rsidRDefault="007E2BBC"/>
    <w:sectPr w:rsidR="007E2BBC" w:rsidRPr="00713136" w:rsidSect="0028549B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A61" w:rsidRDefault="00493A61" w:rsidP="0093500C">
      <w:r>
        <w:separator/>
      </w:r>
    </w:p>
  </w:endnote>
  <w:endnote w:type="continuationSeparator" w:id="1">
    <w:p w:rsidR="00493A61" w:rsidRDefault="00493A61" w:rsidP="00935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156958"/>
      <w:docPartObj>
        <w:docPartGallery w:val="Page Numbers (Bottom of Page)"/>
        <w:docPartUnique/>
      </w:docPartObj>
    </w:sdtPr>
    <w:sdtContent>
      <w:p w:rsidR="0028549B" w:rsidRDefault="0093500C">
        <w:pPr>
          <w:pStyle w:val="a3"/>
          <w:jc w:val="center"/>
        </w:pPr>
        <w:r>
          <w:fldChar w:fldCharType="begin"/>
        </w:r>
        <w:r w:rsidR="00713136">
          <w:instrText xml:space="preserve"> PAGE   \* MERGEFORMAT </w:instrText>
        </w:r>
        <w:r>
          <w:fldChar w:fldCharType="separate"/>
        </w:r>
        <w:r w:rsidR="007D53FE" w:rsidRPr="007D53FE">
          <w:rPr>
            <w:noProof/>
            <w:lang w:val="zh-CN"/>
          </w:rPr>
          <w:t>2</w:t>
        </w:r>
        <w:r>
          <w:fldChar w:fldCharType="end"/>
        </w:r>
      </w:p>
    </w:sdtContent>
  </w:sdt>
  <w:p w:rsidR="0028549B" w:rsidRDefault="00493A6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156961"/>
      <w:docPartObj>
        <w:docPartGallery w:val="Page Numbers (Bottom of Page)"/>
        <w:docPartUnique/>
      </w:docPartObj>
    </w:sdtPr>
    <w:sdtContent>
      <w:p w:rsidR="0028549B" w:rsidRDefault="0093500C">
        <w:pPr>
          <w:pStyle w:val="a3"/>
          <w:jc w:val="center"/>
        </w:pPr>
      </w:p>
    </w:sdtContent>
  </w:sdt>
  <w:p w:rsidR="0028549B" w:rsidRDefault="00493A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A61" w:rsidRDefault="00493A61" w:rsidP="0093500C">
      <w:r>
        <w:separator/>
      </w:r>
    </w:p>
  </w:footnote>
  <w:footnote w:type="continuationSeparator" w:id="1">
    <w:p w:rsidR="00493A61" w:rsidRDefault="00493A61" w:rsidP="00935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136"/>
    <w:rsid w:val="00493A61"/>
    <w:rsid w:val="00713136"/>
    <w:rsid w:val="007D53FE"/>
    <w:rsid w:val="007E2BBC"/>
    <w:rsid w:val="0093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313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D5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D53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2</cp:revision>
  <dcterms:created xsi:type="dcterms:W3CDTF">2020-10-15T04:03:00Z</dcterms:created>
  <dcterms:modified xsi:type="dcterms:W3CDTF">2020-10-15T04:05:00Z</dcterms:modified>
</cp:coreProperties>
</file>